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40" w:rsidRDefault="008D4040">
      <w:pPr>
        <w:rPr>
          <w:b/>
          <w:noProof/>
          <w:sz w:val="24"/>
          <w:lang w:eastAsia="en-AU"/>
        </w:rPr>
      </w:pPr>
      <w:r>
        <w:rPr>
          <w:b/>
          <w:noProof/>
          <w:sz w:val="24"/>
          <w:lang w:eastAsia="en-AU"/>
        </w:rPr>
        <w:drawing>
          <wp:anchor distT="0" distB="0" distL="114300" distR="114300" simplePos="0" relativeHeight="251660288" behindDoc="0" locked="0" layoutInCell="1" allowOverlap="1">
            <wp:simplePos x="0" y="0"/>
            <wp:positionH relativeFrom="column">
              <wp:posOffset>4867275</wp:posOffset>
            </wp:positionH>
            <wp:positionV relativeFrom="paragraph">
              <wp:posOffset>-74295</wp:posOffset>
            </wp:positionV>
            <wp:extent cx="1028700" cy="81851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Dark Blue Background.png"/>
                    <pic:cNvPicPr/>
                  </pic:nvPicPr>
                  <pic:blipFill>
                    <a:blip r:embed="rId8" cstate="print"/>
                    <a:stretch>
                      <a:fillRect/>
                    </a:stretch>
                  </pic:blipFill>
                  <pic:spPr>
                    <a:xfrm>
                      <a:off x="0" y="0"/>
                      <a:ext cx="1028700" cy="818515"/>
                    </a:xfrm>
                    <a:prstGeom prst="rect">
                      <a:avLst/>
                    </a:prstGeom>
                    <a:solidFill>
                      <a:schemeClr val="tx2">
                        <a:lumMod val="75000"/>
                      </a:schemeClr>
                    </a:solidFill>
                  </pic:spPr>
                </pic:pic>
              </a:graphicData>
            </a:graphic>
          </wp:anchor>
        </w:drawing>
      </w:r>
    </w:p>
    <w:p w:rsidR="008D4040" w:rsidRDefault="00EF6C0E">
      <w:pPr>
        <w:rPr>
          <w:b/>
          <w:noProof/>
          <w:sz w:val="24"/>
          <w:lang w:eastAsia="en-AU"/>
        </w:rPr>
      </w:pPr>
      <w:r>
        <w:rPr>
          <w:b/>
          <w:noProof/>
          <w:sz w:val="24"/>
          <w:lang w:eastAsia="en-AU"/>
        </w:rPr>
        <w:pict>
          <v:shapetype id="_x0000_t202" coordsize="21600,21600" o:spt="202" path="m,l,21600r21600,l21600,xe">
            <v:stroke joinstyle="miter"/>
            <v:path gradientshapeok="t" o:connecttype="rect"/>
          </v:shapetype>
          <v:shape id="_x0000_s1026" type="#_x0000_t202" style="position:absolute;margin-left:-17.5pt;margin-top:-25.65pt;width:496.75pt;height:78.7pt;z-index:251658240;mso-position-horizontal-relative:text;mso-position-vertical-relative:text;mso-width-relative:margin;mso-height-relative:margin" fillcolor="#17365d [2415]" stroked="f" strokecolor="#243f60 [1604]">
            <v:textbox>
              <w:txbxContent>
                <w:p w:rsidR="00AB7E80" w:rsidRDefault="00AB7E80" w:rsidP="008D4040">
                  <w:pPr>
                    <w:shd w:val="clear" w:color="auto" w:fill="244061" w:themeFill="accent1" w:themeFillShade="80"/>
                    <w:rPr>
                      <w:b/>
                      <w:sz w:val="32"/>
                    </w:rPr>
                  </w:pPr>
                  <w:r>
                    <w:rPr>
                      <w:b/>
                      <w:sz w:val="32"/>
                    </w:rPr>
                    <w:t xml:space="preserve">GTAV Audit Committee </w:t>
                  </w:r>
                  <w:r w:rsidRPr="008B7F73">
                    <w:rPr>
                      <w:b/>
                      <w:sz w:val="32"/>
                    </w:rPr>
                    <w:t>Meeting</w:t>
                  </w:r>
                  <w:r>
                    <w:rPr>
                      <w:b/>
                      <w:sz w:val="32"/>
                    </w:rPr>
                    <w:t xml:space="preserve"> Minutes </w:t>
                  </w:r>
                </w:p>
                <w:p w:rsidR="00AB7E80" w:rsidRPr="001B3156" w:rsidRDefault="00AB7E80" w:rsidP="008D4040">
                  <w:pPr>
                    <w:shd w:val="clear" w:color="auto" w:fill="244061" w:themeFill="accent1" w:themeFillShade="80"/>
                    <w:rPr>
                      <w:b/>
                      <w:sz w:val="24"/>
                    </w:rPr>
                  </w:pPr>
                  <w:r>
                    <w:rPr>
                      <w:b/>
                      <w:sz w:val="24"/>
                    </w:rPr>
                    <w:t xml:space="preserve">9.30 am </w:t>
                  </w:r>
                  <w:r w:rsidRPr="001B3156">
                    <w:rPr>
                      <w:b/>
                      <w:sz w:val="24"/>
                    </w:rPr>
                    <w:t xml:space="preserve">Wednesday </w:t>
                  </w:r>
                  <w:r>
                    <w:rPr>
                      <w:b/>
                      <w:sz w:val="24"/>
                    </w:rPr>
                    <w:t>18 February 2015</w:t>
                  </w:r>
                </w:p>
                <w:p w:rsidR="00AB7E80" w:rsidRDefault="00AB7E80" w:rsidP="008D4040">
                  <w:pPr>
                    <w:shd w:val="clear" w:color="auto" w:fill="244061" w:themeFill="accent1" w:themeFillShade="80"/>
                  </w:pPr>
                  <w:r>
                    <w:t xml:space="preserve">Victorian TAFE Association Offices Level 3 </w:t>
                  </w:r>
                </w:p>
                <w:p w:rsidR="00AB7E80" w:rsidRDefault="00AB7E80" w:rsidP="008D4040">
                  <w:pPr>
                    <w:shd w:val="clear" w:color="auto" w:fill="244061" w:themeFill="accent1" w:themeFillShade="80"/>
                  </w:pPr>
                  <w:r>
                    <w:t xml:space="preserve">478 Albert Street East Melbourne </w:t>
                  </w:r>
                </w:p>
              </w:txbxContent>
            </v:textbox>
          </v:shape>
        </w:pict>
      </w:r>
    </w:p>
    <w:p w:rsidR="008D4040" w:rsidRDefault="008D4040">
      <w:pPr>
        <w:rPr>
          <w:b/>
          <w:noProof/>
          <w:sz w:val="24"/>
          <w:lang w:eastAsia="en-AU"/>
        </w:rPr>
      </w:pPr>
    </w:p>
    <w:p w:rsidR="008D4040" w:rsidRDefault="008D4040">
      <w:pPr>
        <w:rPr>
          <w:b/>
          <w:noProof/>
          <w:sz w:val="24"/>
          <w:lang w:eastAsia="en-AU"/>
        </w:rPr>
      </w:pPr>
    </w:p>
    <w:p w:rsidR="008D4040" w:rsidRDefault="008D4040">
      <w:pPr>
        <w:rPr>
          <w:b/>
          <w:noProof/>
          <w:sz w:val="24"/>
          <w:lang w:eastAsia="en-AU"/>
        </w:rPr>
      </w:pPr>
    </w:p>
    <w:p w:rsidR="00245392" w:rsidRPr="004416DD" w:rsidRDefault="00245392">
      <w:pPr>
        <w:rPr>
          <w:b/>
          <w:sz w:val="20"/>
        </w:rPr>
      </w:pPr>
    </w:p>
    <w:p w:rsidR="008B7F73" w:rsidRPr="00AE2BAD" w:rsidRDefault="008B7F73" w:rsidP="008B7F73">
      <w:pPr>
        <w:pStyle w:val="ListParagraph"/>
        <w:numPr>
          <w:ilvl w:val="0"/>
          <w:numId w:val="1"/>
        </w:numPr>
        <w:rPr>
          <w:b/>
        </w:rPr>
      </w:pPr>
      <w:r w:rsidRPr="00AE2BAD">
        <w:rPr>
          <w:b/>
        </w:rPr>
        <w:t xml:space="preserve">Attendance </w:t>
      </w:r>
    </w:p>
    <w:p w:rsidR="00245392" w:rsidRDefault="00825843" w:rsidP="00751A66">
      <w:pPr>
        <w:pStyle w:val="ListParagraph"/>
      </w:pPr>
      <w:r>
        <w:t>Robin Goodwill</w:t>
      </w:r>
      <w:r>
        <w:tab/>
        <w:t xml:space="preserve"> </w:t>
      </w:r>
      <w:r w:rsidR="00EC134A">
        <w:t>(Chair)</w:t>
      </w:r>
      <w:r w:rsidR="00956685">
        <w:tab/>
      </w:r>
      <w:r>
        <w:tab/>
        <w:t>Mark Knox</w:t>
      </w:r>
      <w:r>
        <w:tab/>
      </w:r>
      <w:r w:rsidR="000663BB">
        <w:t>Dean Luciani</w:t>
      </w:r>
      <w:r w:rsidR="00E6012D">
        <w:t xml:space="preserve"> </w:t>
      </w:r>
      <w:r w:rsidR="000663BB">
        <w:tab/>
      </w:r>
      <w:r w:rsidR="00956685">
        <w:tab/>
      </w:r>
      <w:r w:rsidR="00245392">
        <w:t xml:space="preserve">Gary Workman  </w:t>
      </w:r>
    </w:p>
    <w:p w:rsidR="000B396B" w:rsidRPr="00EC134A" w:rsidRDefault="00245392" w:rsidP="00751A66">
      <w:pPr>
        <w:pStyle w:val="ListParagraph"/>
      </w:pPr>
      <w:r>
        <w:t xml:space="preserve">  </w:t>
      </w:r>
      <w:r w:rsidR="000663BB">
        <w:tab/>
      </w:r>
      <w:r w:rsidR="000B396B">
        <w:t xml:space="preserve"> </w:t>
      </w:r>
    </w:p>
    <w:p w:rsidR="00082861" w:rsidRPr="004416DD" w:rsidRDefault="008B7F73" w:rsidP="004416DD">
      <w:pPr>
        <w:pStyle w:val="ListParagraph"/>
        <w:numPr>
          <w:ilvl w:val="0"/>
          <w:numId w:val="1"/>
        </w:numPr>
        <w:rPr>
          <w:b/>
        </w:rPr>
      </w:pPr>
      <w:r w:rsidRPr="00AE2BAD">
        <w:rPr>
          <w:b/>
        </w:rPr>
        <w:t>Apologies</w:t>
      </w:r>
      <w:r w:rsidR="006870BE">
        <w:rPr>
          <w:b/>
        </w:rPr>
        <w:t xml:space="preserve"> </w:t>
      </w:r>
      <w:r w:rsidR="00467982">
        <w:rPr>
          <w:b/>
        </w:rPr>
        <w:t xml:space="preserve"> </w:t>
      </w:r>
      <w:r w:rsidR="008018BF">
        <w:rPr>
          <w:b/>
        </w:rPr>
        <w:t>- none</w:t>
      </w:r>
    </w:p>
    <w:p w:rsidR="00082861" w:rsidRDefault="00611B62" w:rsidP="00757EA4">
      <w:pPr>
        <w:pStyle w:val="ListParagraph"/>
        <w:numPr>
          <w:ilvl w:val="0"/>
          <w:numId w:val="1"/>
        </w:numPr>
        <w:rPr>
          <w:b/>
        </w:rPr>
      </w:pPr>
      <w:r>
        <w:rPr>
          <w:b/>
        </w:rPr>
        <w:t>Declaration: Conflict of</w:t>
      </w:r>
      <w:r w:rsidR="00082861" w:rsidRPr="00AE2BAD">
        <w:rPr>
          <w:b/>
        </w:rPr>
        <w:t xml:space="preserve"> Interest </w:t>
      </w:r>
    </w:p>
    <w:p w:rsidR="00245392" w:rsidRPr="00757EA4" w:rsidRDefault="00245392" w:rsidP="00245392">
      <w:pPr>
        <w:pStyle w:val="ListParagraph"/>
        <w:rPr>
          <w:b/>
        </w:rPr>
      </w:pPr>
    </w:p>
    <w:p w:rsidR="00F43933" w:rsidRPr="004416DD" w:rsidRDefault="00864EC7" w:rsidP="004416DD">
      <w:pPr>
        <w:pStyle w:val="ListParagraph"/>
        <w:numPr>
          <w:ilvl w:val="0"/>
          <w:numId w:val="1"/>
        </w:numPr>
        <w:rPr>
          <w:b/>
        </w:rPr>
      </w:pPr>
      <w:r w:rsidRPr="00082861">
        <w:rPr>
          <w:b/>
        </w:rPr>
        <w:t>M</w:t>
      </w:r>
      <w:r w:rsidR="000447E6" w:rsidRPr="00082861">
        <w:rPr>
          <w:b/>
        </w:rPr>
        <w:t xml:space="preserve">inutes from </w:t>
      </w:r>
      <w:r w:rsidRPr="00082861">
        <w:rPr>
          <w:b/>
        </w:rPr>
        <w:t xml:space="preserve">previous Audit committee </w:t>
      </w:r>
      <w:r w:rsidR="000447E6" w:rsidRPr="00082861">
        <w:rPr>
          <w:b/>
        </w:rPr>
        <w:t xml:space="preserve">meeting. </w:t>
      </w:r>
      <w:r w:rsidR="00BF5D0B">
        <w:rPr>
          <w:b/>
        </w:rPr>
        <w:t>–</w:t>
      </w:r>
      <w:r w:rsidR="004416DD">
        <w:rPr>
          <w:b/>
        </w:rPr>
        <w:t xml:space="preserve"> </w:t>
      </w:r>
      <w:r w:rsidR="00825843">
        <w:t>10 December 2014</w:t>
      </w:r>
    </w:p>
    <w:p w:rsidR="00BC7D10" w:rsidRDefault="00DF75F3" w:rsidP="00DF75F3">
      <w:pPr>
        <w:ind w:left="720"/>
      </w:pPr>
      <w:r w:rsidRPr="00DF75F3">
        <w:t>The committee accepted the minutes from the 10 December 2014 audit committee meeting as a</w:t>
      </w:r>
      <w:r>
        <w:t xml:space="preserve"> true reflection of the meeting. Motion RG seconded GW</w:t>
      </w:r>
    </w:p>
    <w:p w:rsidR="00DF75F3" w:rsidRPr="00DF75F3" w:rsidRDefault="00DF75F3" w:rsidP="00DF75F3">
      <w:pPr>
        <w:ind w:left="720"/>
      </w:pPr>
    </w:p>
    <w:p w:rsidR="006E6EE3" w:rsidRPr="004416DD" w:rsidRDefault="00F43933" w:rsidP="00F43933">
      <w:pPr>
        <w:pStyle w:val="ListParagraph"/>
        <w:numPr>
          <w:ilvl w:val="0"/>
          <w:numId w:val="1"/>
        </w:numPr>
        <w:rPr>
          <w:rFonts w:ascii="Arial" w:hAnsi="Arial" w:cs="Arial"/>
          <w:b/>
          <w:sz w:val="20"/>
          <w:szCs w:val="20"/>
        </w:rPr>
      </w:pPr>
      <w:r w:rsidRPr="00082861">
        <w:rPr>
          <w:rFonts w:ascii="Arial" w:hAnsi="Arial" w:cs="Arial"/>
          <w:b/>
          <w:sz w:val="20"/>
          <w:szCs w:val="20"/>
        </w:rPr>
        <w:t xml:space="preserve">Review P&amp;L and Balance sheet reports </w:t>
      </w:r>
      <w:r w:rsidR="000447E6" w:rsidRPr="00082861">
        <w:rPr>
          <w:rFonts w:ascii="Arial" w:hAnsi="Arial" w:cs="Arial"/>
          <w:b/>
          <w:sz w:val="20"/>
          <w:szCs w:val="20"/>
        </w:rPr>
        <w:t xml:space="preserve">(End of </w:t>
      </w:r>
      <w:r w:rsidR="00DF75F3">
        <w:rPr>
          <w:rFonts w:ascii="Arial" w:hAnsi="Arial" w:cs="Arial"/>
          <w:b/>
          <w:sz w:val="20"/>
          <w:szCs w:val="20"/>
        </w:rPr>
        <w:t xml:space="preserve">December 2014 &amp; </w:t>
      </w:r>
      <w:r w:rsidR="00825843">
        <w:rPr>
          <w:rFonts w:ascii="Arial" w:hAnsi="Arial" w:cs="Arial"/>
          <w:b/>
          <w:sz w:val="20"/>
          <w:szCs w:val="20"/>
        </w:rPr>
        <w:t>January 2015</w:t>
      </w:r>
      <w:r w:rsidR="000447E6" w:rsidRPr="00082861">
        <w:rPr>
          <w:rFonts w:ascii="Arial" w:hAnsi="Arial" w:cs="Arial"/>
          <w:b/>
          <w:sz w:val="20"/>
          <w:szCs w:val="20"/>
        </w:rPr>
        <w:t xml:space="preserve">) </w:t>
      </w:r>
    </w:p>
    <w:p w:rsidR="008D258A" w:rsidRPr="009959E1" w:rsidRDefault="00E6012D" w:rsidP="009959E1">
      <w:pPr>
        <w:pStyle w:val="ListParagraph"/>
        <w:contextualSpacing w:val="0"/>
        <w:rPr>
          <w:rFonts w:ascii="Arial" w:hAnsi="Arial" w:cs="Arial"/>
          <w:b/>
          <w:sz w:val="20"/>
          <w:szCs w:val="20"/>
        </w:rPr>
      </w:pPr>
      <w:r>
        <w:rPr>
          <w:rFonts w:ascii="Arial" w:hAnsi="Arial" w:cs="Arial"/>
          <w:b/>
          <w:sz w:val="20"/>
          <w:szCs w:val="20"/>
        </w:rPr>
        <w:t>2014/15</w:t>
      </w:r>
      <w:r w:rsidR="00F43933" w:rsidRPr="00082861">
        <w:rPr>
          <w:rFonts w:ascii="Arial" w:hAnsi="Arial" w:cs="Arial"/>
          <w:b/>
          <w:sz w:val="20"/>
          <w:szCs w:val="20"/>
        </w:rPr>
        <w:t xml:space="preserve"> </w:t>
      </w:r>
      <w:r w:rsidR="00554474">
        <w:rPr>
          <w:rFonts w:ascii="Arial" w:hAnsi="Arial" w:cs="Arial"/>
          <w:b/>
          <w:sz w:val="20"/>
          <w:szCs w:val="20"/>
        </w:rPr>
        <w:t>YTD reports</w:t>
      </w:r>
    </w:p>
    <w:p w:rsidR="00DF75F3" w:rsidRDefault="00DF75F3" w:rsidP="008D258A">
      <w:pPr>
        <w:ind w:left="720"/>
        <w:rPr>
          <w:rFonts w:ascii="Arial" w:hAnsi="Arial" w:cs="Arial"/>
          <w:sz w:val="20"/>
          <w:szCs w:val="20"/>
        </w:rPr>
      </w:pPr>
    </w:p>
    <w:p w:rsidR="00DF75F3" w:rsidRDefault="00AB7E80" w:rsidP="008D258A">
      <w:pPr>
        <w:ind w:left="720"/>
        <w:rPr>
          <w:rFonts w:ascii="Arial" w:hAnsi="Arial" w:cs="Arial"/>
          <w:sz w:val="20"/>
          <w:szCs w:val="20"/>
        </w:rPr>
      </w:pPr>
      <w:r>
        <w:rPr>
          <w:rFonts w:ascii="Arial" w:hAnsi="Arial" w:cs="Arial"/>
          <w:sz w:val="20"/>
          <w:szCs w:val="20"/>
        </w:rPr>
        <w:t xml:space="preserve">The committee accepted the end of December and January Financial reports Motion MK seconded DL. </w:t>
      </w:r>
    </w:p>
    <w:p w:rsidR="00DF75F3" w:rsidRDefault="00DF75F3" w:rsidP="008D258A">
      <w:pPr>
        <w:ind w:left="720"/>
        <w:rPr>
          <w:rFonts w:ascii="Arial" w:hAnsi="Arial" w:cs="Arial"/>
          <w:sz w:val="20"/>
          <w:szCs w:val="20"/>
        </w:rPr>
      </w:pPr>
    </w:p>
    <w:p w:rsidR="00DF75F3" w:rsidRDefault="00E10682" w:rsidP="008D258A">
      <w:pPr>
        <w:ind w:left="720"/>
        <w:rPr>
          <w:rFonts w:ascii="Arial" w:hAnsi="Arial" w:cs="Arial"/>
          <w:sz w:val="20"/>
          <w:szCs w:val="20"/>
        </w:rPr>
      </w:pPr>
      <w:r w:rsidRPr="00AB7E80">
        <w:rPr>
          <w:rFonts w:ascii="Arial" w:hAnsi="Arial" w:cs="Arial"/>
          <w:b/>
          <w:sz w:val="20"/>
          <w:szCs w:val="20"/>
        </w:rPr>
        <w:t>Action Item</w:t>
      </w:r>
      <w:r w:rsidR="00AB7E80">
        <w:rPr>
          <w:rFonts w:ascii="Arial" w:hAnsi="Arial" w:cs="Arial"/>
          <w:b/>
          <w:sz w:val="20"/>
          <w:szCs w:val="20"/>
        </w:rPr>
        <w:t>s</w:t>
      </w:r>
      <w:r w:rsidRPr="00AB7E80">
        <w:rPr>
          <w:rFonts w:ascii="Arial" w:hAnsi="Arial" w:cs="Arial"/>
          <w:b/>
          <w:sz w:val="20"/>
          <w:szCs w:val="20"/>
        </w:rPr>
        <w:t>:</w:t>
      </w:r>
      <w:r>
        <w:rPr>
          <w:rFonts w:ascii="Arial" w:hAnsi="Arial" w:cs="Arial"/>
          <w:sz w:val="20"/>
          <w:szCs w:val="20"/>
        </w:rPr>
        <w:t xml:space="preserve"> GW to confirm NWDF -$6,449.80 cost of sales entry in January EOM report.  (This entry was made as an adjustme</w:t>
      </w:r>
      <w:r w:rsidR="00AB7E80">
        <w:rPr>
          <w:rFonts w:ascii="Arial" w:hAnsi="Arial" w:cs="Arial"/>
          <w:sz w:val="20"/>
          <w:szCs w:val="20"/>
        </w:rPr>
        <w:t>nt for RTO payments for our 2011-13</w:t>
      </w:r>
      <w:r>
        <w:rPr>
          <w:rFonts w:ascii="Arial" w:hAnsi="Arial" w:cs="Arial"/>
          <w:sz w:val="20"/>
          <w:szCs w:val="20"/>
        </w:rPr>
        <w:t xml:space="preserve"> NWDF </w:t>
      </w:r>
      <w:r w:rsidR="00AB7E80">
        <w:rPr>
          <w:rFonts w:ascii="Arial" w:hAnsi="Arial" w:cs="Arial"/>
          <w:sz w:val="20"/>
          <w:szCs w:val="20"/>
        </w:rPr>
        <w:t>projects</w:t>
      </w:r>
      <w:r>
        <w:rPr>
          <w:rFonts w:ascii="Arial" w:hAnsi="Arial" w:cs="Arial"/>
          <w:sz w:val="20"/>
          <w:szCs w:val="20"/>
        </w:rPr>
        <w:t xml:space="preserve">, which GTAV had already paid last financial year). </w:t>
      </w:r>
    </w:p>
    <w:p w:rsidR="00DF75F3" w:rsidRDefault="00E10682" w:rsidP="008D258A">
      <w:pPr>
        <w:ind w:left="720"/>
        <w:rPr>
          <w:rFonts w:ascii="Arial" w:hAnsi="Arial" w:cs="Arial"/>
          <w:sz w:val="20"/>
          <w:szCs w:val="20"/>
        </w:rPr>
      </w:pPr>
      <w:r>
        <w:rPr>
          <w:rFonts w:ascii="Arial" w:hAnsi="Arial" w:cs="Arial"/>
          <w:sz w:val="20"/>
          <w:szCs w:val="20"/>
        </w:rPr>
        <w:t xml:space="preserve"> </w:t>
      </w:r>
    </w:p>
    <w:p w:rsidR="006E6EE3" w:rsidRDefault="00DF75F3" w:rsidP="008D258A">
      <w:pPr>
        <w:ind w:left="720"/>
        <w:rPr>
          <w:rFonts w:ascii="Arial" w:hAnsi="Arial" w:cs="Arial"/>
          <w:sz w:val="20"/>
          <w:szCs w:val="20"/>
        </w:rPr>
      </w:pPr>
      <w:r w:rsidRPr="008D258A">
        <w:rPr>
          <w:rFonts w:ascii="Arial" w:hAnsi="Arial" w:cs="Arial"/>
          <w:sz w:val="20"/>
          <w:szCs w:val="20"/>
        </w:rPr>
        <w:t xml:space="preserve">Cash </w:t>
      </w:r>
      <w:r w:rsidR="00BF5D0B" w:rsidRPr="008D258A">
        <w:rPr>
          <w:rFonts w:ascii="Arial" w:hAnsi="Arial" w:cs="Arial"/>
          <w:sz w:val="20"/>
          <w:szCs w:val="20"/>
        </w:rPr>
        <w:t>flow report up to end of</w:t>
      </w:r>
      <w:r w:rsidR="00172DB8" w:rsidRPr="008D258A">
        <w:rPr>
          <w:rFonts w:ascii="Arial" w:hAnsi="Arial" w:cs="Arial"/>
          <w:sz w:val="20"/>
          <w:szCs w:val="20"/>
        </w:rPr>
        <w:t xml:space="preserve"> </w:t>
      </w:r>
      <w:r w:rsidR="005D066F">
        <w:rPr>
          <w:rFonts w:ascii="Arial" w:hAnsi="Arial" w:cs="Arial"/>
          <w:sz w:val="20"/>
          <w:szCs w:val="20"/>
        </w:rPr>
        <w:t>December</w:t>
      </w:r>
      <w:r w:rsidR="00825843">
        <w:rPr>
          <w:rFonts w:ascii="Arial" w:hAnsi="Arial" w:cs="Arial"/>
          <w:sz w:val="20"/>
          <w:szCs w:val="20"/>
        </w:rPr>
        <w:t xml:space="preserve"> 2016</w:t>
      </w:r>
      <w:r>
        <w:rPr>
          <w:rFonts w:ascii="Arial" w:hAnsi="Arial" w:cs="Arial"/>
          <w:sz w:val="20"/>
          <w:szCs w:val="20"/>
        </w:rPr>
        <w:t xml:space="preserve"> will be presented at the March meeting. </w:t>
      </w:r>
    </w:p>
    <w:p w:rsidR="00245392" w:rsidRDefault="00245392" w:rsidP="000447E6">
      <w:pPr>
        <w:rPr>
          <w:rFonts w:ascii="Arial" w:hAnsi="Arial" w:cs="Arial"/>
          <w:sz w:val="20"/>
          <w:szCs w:val="20"/>
        </w:rPr>
      </w:pPr>
      <w:r>
        <w:rPr>
          <w:rFonts w:ascii="Arial" w:hAnsi="Arial" w:cs="Arial"/>
          <w:sz w:val="20"/>
          <w:szCs w:val="20"/>
        </w:rPr>
        <w:tab/>
      </w:r>
    </w:p>
    <w:p w:rsidR="00912B89" w:rsidRPr="004416DD" w:rsidRDefault="00912B89" w:rsidP="000447E6">
      <w:pPr>
        <w:rPr>
          <w:rFonts w:ascii="Arial" w:hAnsi="Arial" w:cs="Arial"/>
          <w:sz w:val="20"/>
          <w:szCs w:val="20"/>
        </w:rPr>
      </w:pPr>
    </w:p>
    <w:p w:rsidR="00571536" w:rsidRPr="000970A5" w:rsidRDefault="00F43933" w:rsidP="00F43933">
      <w:pPr>
        <w:pStyle w:val="ListParagraph"/>
        <w:numPr>
          <w:ilvl w:val="0"/>
          <w:numId w:val="1"/>
        </w:numPr>
        <w:contextualSpacing w:val="0"/>
        <w:rPr>
          <w:rFonts w:ascii="Arial" w:hAnsi="Arial" w:cs="Arial"/>
          <w:b/>
          <w:sz w:val="20"/>
          <w:szCs w:val="20"/>
        </w:rPr>
      </w:pPr>
      <w:r w:rsidRPr="000970A5">
        <w:rPr>
          <w:rFonts w:ascii="Arial" w:hAnsi="Arial" w:cs="Arial"/>
          <w:b/>
          <w:sz w:val="20"/>
          <w:szCs w:val="20"/>
        </w:rPr>
        <w:t xml:space="preserve">Risk Management assessment </w:t>
      </w:r>
    </w:p>
    <w:p w:rsidR="00571536" w:rsidRDefault="00956685" w:rsidP="000B396B">
      <w:pPr>
        <w:ind w:left="720"/>
      </w:pPr>
      <w:proofErr w:type="gramStart"/>
      <w:r>
        <w:t xml:space="preserve">Board discussion for all directors to undertake reviews as per the </w:t>
      </w:r>
      <w:r w:rsidR="00825843">
        <w:t>2015</w:t>
      </w:r>
      <w:r w:rsidR="006A0C2B">
        <w:t xml:space="preserve"> </w:t>
      </w:r>
      <w:r>
        <w:t>review calendar.</w:t>
      </w:r>
      <w:proofErr w:type="gramEnd"/>
      <w:r>
        <w:t xml:space="preserve"> </w:t>
      </w:r>
    </w:p>
    <w:p w:rsidR="008D258A" w:rsidRPr="00AB7E80" w:rsidRDefault="008D258A" w:rsidP="008D258A">
      <w:pPr>
        <w:rPr>
          <w:i/>
        </w:rPr>
      </w:pPr>
    </w:p>
    <w:p w:rsidR="008231B5" w:rsidRPr="00AB7E80" w:rsidRDefault="00AB7E80" w:rsidP="00AB7E80">
      <w:pPr>
        <w:ind w:left="720"/>
      </w:pPr>
      <w:r w:rsidRPr="00AB7E80">
        <w:t xml:space="preserve">The committee discussed the review process and frequency of review of GTAV board policies and risk management reviews. The committee agreed that this would be discussed at the March Board meeting, and that the current individual director review with comments tabled at Audit and Board meetings continue at this stage. </w:t>
      </w:r>
      <w:r w:rsidR="00BF509C" w:rsidRPr="00AB7E80">
        <w:tab/>
      </w:r>
    </w:p>
    <w:p w:rsidR="00AB7E80" w:rsidRDefault="00AB7E80" w:rsidP="00D3001E">
      <w:pPr>
        <w:rPr>
          <w:b/>
        </w:rPr>
      </w:pPr>
      <w:r>
        <w:rPr>
          <w:b/>
        </w:rPr>
        <w:tab/>
      </w:r>
    </w:p>
    <w:p w:rsidR="00AB7E80" w:rsidRDefault="00AB7E80" w:rsidP="00D3001E">
      <w:pPr>
        <w:rPr>
          <w:b/>
        </w:rPr>
      </w:pPr>
    </w:p>
    <w:tbl>
      <w:tblPr>
        <w:tblStyle w:val="TableGrid"/>
        <w:tblW w:w="9214" w:type="dxa"/>
        <w:tblInd w:w="108" w:type="dxa"/>
        <w:tblLayout w:type="fixed"/>
        <w:tblLook w:val="04A0"/>
      </w:tblPr>
      <w:tblGrid>
        <w:gridCol w:w="993"/>
        <w:gridCol w:w="5103"/>
        <w:gridCol w:w="1559"/>
        <w:gridCol w:w="1559"/>
      </w:tblGrid>
      <w:tr w:rsidR="008231B5" w:rsidRPr="004E645D" w:rsidTr="009959E1">
        <w:trPr>
          <w:cantSplit/>
          <w:trHeight w:val="528"/>
        </w:trPr>
        <w:tc>
          <w:tcPr>
            <w:tcW w:w="9214" w:type="dxa"/>
            <w:gridSpan w:val="4"/>
            <w:tcBorders>
              <w:bottom w:val="single" w:sz="4" w:space="0" w:color="auto"/>
            </w:tcBorders>
            <w:shd w:val="clear" w:color="auto" w:fill="D9D9D9" w:themeFill="background1" w:themeFillShade="D9"/>
          </w:tcPr>
          <w:p w:rsidR="008231B5" w:rsidRPr="00095280" w:rsidRDefault="008231B5" w:rsidP="00DF75F3">
            <w:pPr>
              <w:rPr>
                <w:b/>
                <w:sz w:val="28"/>
              </w:rPr>
            </w:pPr>
            <w:r w:rsidRPr="00095280">
              <w:rPr>
                <w:b/>
                <w:sz w:val="28"/>
              </w:rPr>
              <w:t xml:space="preserve">GTAV Board Policy &amp; </w:t>
            </w:r>
          </w:p>
          <w:p w:rsidR="008231B5" w:rsidRPr="004E645D" w:rsidRDefault="008231B5" w:rsidP="00DF75F3">
            <w:pPr>
              <w:rPr>
                <w:b/>
                <w:i/>
                <w:sz w:val="20"/>
              </w:rPr>
            </w:pPr>
            <w:r w:rsidRPr="00095280">
              <w:rPr>
                <w:b/>
                <w:sz w:val="28"/>
              </w:rPr>
              <w:t xml:space="preserve">Risk Management Schedule </w:t>
            </w:r>
            <w:r>
              <w:rPr>
                <w:b/>
                <w:sz w:val="28"/>
              </w:rPr>
              <w:t xml:space="preserve"> (February 2015)</w:t>
            </w:r>
          </w:p>
        </w:tc>
      </w:tr>
      <w:tr w:rsidR="008231B5" w:rsidRPr="004E645D" w:rsidTr="009959E1">
        <w:trPr>
          <w:cantSplit/>
          <w:trHeight w:val="1263"/>
        </w:trPr>
        <w:tc>
          <w:tcPr>
            <w:tcW w:w="993" w:type="dxa"/>
            <w:tcBorders>
              <w:bottom w:val="single" w:sz="4" w:space="0" w:color="auto"/>
            </w:tcBorders>
            <w:shd w:val="clear" w:color="auto" w:fill="D9D9D9" w:themeFill="background1" w:themeFillShade="D9"/>
            <w:textDirection w:val="btLr"/>
          </w:tcPr>
          <w:p w:rsidR="008231B5" w:rsidRPr="004E645D" w:rsidRDefault="008231B5" w:rsidP="00DF75F3">
            <w:pPr>
              <w:ind w:left="113" w:right="113"/>
              <w:rPr>
                <w:b/>
                <w:sz w:val="20"/>
              </w:rPr>
            </w:pPr>
            <w:r>
              <w:rPr>
                <w:b/>
                <w:sz w:val="20"/>
              </w:rPr>
              <w:t>Reference</w:t>
            </w:r>
          </w:p>
        </w:tc>
        <w:tc>
          <w:tcPr>
            <w:tcW w:w="5103" w:type="dxa"/>
            <w:tcBorders>
              <w:bottom w:val="single" w:sz="4" w:space="0" w:color="auto"/>
            </w:tcBorders>
            <w:shd w:val="clear" w:color="auto" w:fill="D9D9D9" w:themeFill="background1" w:themeFillShade="D9"/>
          </w:tcPr>
          <w:p w:rsidR="008231B5" w:rsidRPr="004E645D" w:rsidRDefault="008231B5" w:rsidP="00DF75F3">
            <w:pPr>
              <w:rPr>
                <w:b/>
                <w:sz w:val="20"/>
              </w:rPr>
            </w:pPr>
          </w:p>
        </w:tc>
        <w:tc>
          <w:tcPr>
            <w:tcW w:w="1559" w:type="dxa"/>
            <w:tcBorders>
              <w:bottom w:val="single" w:sz="4" w:space="0" w:color="auto"/>
            </w:tcBorders>
            <w:shd w:val="clear" w:color="auto" w:fill="D9D9D9" w:themeFill="background1" w:themeFillShade="D9"/>
            <w:textDirection w:val="btLr"/>
          </w:tcPr>
          <w:p w:rsidR="008231B5" w:rsidRPr="004E645D" w:rsidRDefault="008231B5" w:rsidP="00DF75F3">
            <w:pPr>
              <w:ind w:left="113" w:right="113"/>
              <w:rPr>
                <w:b/>
                <w:sz w:val="20"/>
              </w:rPr>
            </w:pPr>
            <w:r>
              <w:rPr>
                <w:b/>
                <w:sz w:val="20"/>
              </w:rPr>
              <w:t xml:space="preserve">Risk Rating </w:t>
            </w:r>
          </w:p>
        </w:tc>
        <w:tc>
          <w:tcPr>
            <w:tcW w:w="1559" w:type="dxa"/>
            <w:tcBorders>
              <w:bottom w:val="single" w:sz="4" w:space="0" w:color="auto"/>
            </w:tcBorders>
            <w:shd w:val="clear" w:color="auto" w:fill="D9D9D9" w:themeFill="background1" w:themeFillShade="D9"/>
            <w:textDirection w:val="btLr"/>
          </w:tcPr>
          <w:p w:rsidR="008231B5" w:rsidRPr="004E645D" w:rsidRDefault="008231B5" w:rsidP="00DF75F3">
            <w:pPr>
              <w:ind w:left="113" w:right="113"/>
              <w:rPr>
                <w:b/>
                <w:sz w:val="20"/>
              </w:rPr>
            </w:pPr>
            <w:r>
              <w:rPr>
                <w:b/>
                <w:sz w:val="20"/>
              </w:rPr>
              <w:t>Control Rating</w:t>
            </w:r>
          </w:p>
        </w:tc>
      </w:tr>
      <w:tr w:rsidR="008231B5" w:rsidRPr="004E645D" w:rsidTr="009959E1">
        <w:tc>
          <w:tcPr>
            <w:tcW w:w="993" w:type="dxa"/>
          </w:tcPr>
          <w:p w:rsidR="008231B5" w:rsidRPr="009959E1" w:rsidRDefault="008231B5" w:rsidP="00DF75F3">
            <w:pPr>
              <w:rPr>
                <w:b/>
              </w:rPr>
            </w:pPr>
            <w:r w:rsidRPr="009959E1">
              <w:rPr>
                <w:b/>
              </w:rPr>
              <w:t>1</w:t>
            </w:r>
          </w:p>
        </w:tc>
        <w:tc>
          <w:tcPr>
            <w:tcW w:w="5103" w:type="dxa"/>
          </w:tcPr>
          <w:p w:rsidR="008231B5" w:rsidRPr="009959E1" w:rsidRDefault="008231B5" w:rsidP="00DF75F3">
            <w:pPr>
              <w:spacing w:line="276" w:lineRule="auto"/>
              <w:ind w:left="-2"/>
              <w:rPr>
                <w:rFonts w:cs="Arial"/>
              </w:rPr>
            </w:pPr>
            <w:r w:rsidRPr="009959E1">
              <w:rPr>
                <w:rFonts w:cs="Arial"/>
              </w:rPr>
              <w:t>Overarching Governance Process</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c>
          <w:tcPr>
            <w:tcW w:w="993" w:type="dxa"/>
          </w:tcPr>
          <w:p w:rsidR="008231B5" w:rsidRPr="009959E1" w:rsidRDefault="008231B5" w:rsidP="00DF75F3">
            <w:pPr>
              <w:rPr>
                <w:b/>
              </w:rPr>
            </w:pPr>
            <w:r w:rsidRPr="009959E1">
              <w:rPr>
                <w:b/>
              </w:rPr>
              <w:t>2</w:t>
            </w:r>
          </w:p>
        </w:tc>
        <w:tc>
          <w:tcPr>
            <w:tcW w:w="5103" w:type="dxa"/>
          </w:tcPr>
          <w:p w:rsidR="008231B5" w:rsidRPr="009959E1" w:rsidRDefault="008231B5" w:rsidP="00DF75F3">
            <w:pPr>
              <w:spacing w:line="276" w:lineRule="auto"/>
              <w:ind w:left="-2"/>
              <w:rPr>
                <w:rFonts w:cs="Arial"/>
              </w:rPr>
            </w:pPr>
            <w:r w:rsidRPr="009959E1">
              <w:rPr>
                <w:rFonts w:cs="Arial"/>
              </w:rPr>
              <w:t>Governance Policies</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c>
          <w:tcPr>
            <w:tcW w:w="993" w:type="dxa"/>
          </w:tcPr>
          <w:p w:rsidR="008231B5" w:rsidRPr="009959E1" w:rsidRDefault="008231B5" w:rsidP="00DF75F3">
            <w:pPr>
              <w:rPr>
                <w:b/>
              </w:rPr>
            </w:pPr>
            <w:r w:rsidRPr="009959E1">
              <w:rPr>
                <w:b/>
              </w:rPr>
              <w:t>3</w:t>
            </w:r>
          </w:p>
        </w:tc>
        <w:tc>
          <w:tcPr>
            <w:tcW w:w="5103" w:type="dxa"/>
          </w:tcPr>
          <w:p w:rsidR="008231B5" w:rsidRPr="009959E1" w:rsidRDefault="008231B5" w:rsidP="00DF75F3">
            <w:pPr>
              <w:spacing w:line="276" w:lineRule="auto"/>
              <w:ind w:left="-2"/>
              <w:rPr>
                <w:rFonts w:cs="Arial"/>
              </w:rPr>
            </w:pPr>
            <w:r w:rsidRPr="009959E1">
              <w:rPr>
                <w:rFonts w:cs="Arial"/>
              </w:rPr>
              <w:t>Linkage to Owners</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c>
          <w:tcPr>
            <w:tcW w:w="993" w:type="dxa"/>
          </w:tcPr>
          <w:p w:rsidR="008231B5" w:rsidRPr="009959E1" w:rsidRDefault="008231B5" w:rsidP="00DF75F3">
            <w:pPr>
              <w:rPr>
                <w:b/>
              </w:rPr>
            </w:pPr>
            <w:r w:rsidRPr="009959E1">
              <w:rPr>
                <w:b/>
              </w:rPr>
              <w:t>4</w:t>
            </w:r>
          </w:p>
        </w:tc>
        <w:tc>
          <w:tcPr>
            <w:tcW w:w="5103" w:type="dxa"/>
          </w:tcPr>
          <w:p w:rsidR="008231B5" w:rsidRPr="009959E1" w:rsidRDefault="008231B5" w:rsidP="00DF75F3">
            <w:pPr>
              <w:spacing w:line="276" w:lineRule="auto"/>
              <w:ind w:left="-2"/>
              <w:rPr>
                <w:rFonts w:cs="Arial"/>
              </w:rPr>
            </w:pPr>
            <w:r w:rsidRPr="009959E1">
              <w:rPr>
                <w:rFonts w:cs="Arial"/>
              </w:rPr>
              <w:t>Code of Ethics and Proper Practice</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c>
          <w:tcPr>
            <w:tcW w:w="993" w:type="dxa"/>
          </w:tcPr>
          <w:p w:rsidR="008231B5" w:rsidRPr="009959E1" w:rsidRDefault="008231B5" w:rsidP="00DF75F3">
            <w:pPr>
              <w:rPr>
                <w:b/>
              </w:rPr>
            </w:pPr>
            <w:r w:rsidRPr="009959E1">
              <w:rPr>
                <w:b/>
              </w:rPr>
              <w:t>5</w:t>
            </w:r>
          </w:p>
        </w:tc>
        <w:tc>
          <w:tcPr>
            <w:tcW w:w="5103" w:type="dxa"/>
          </w:tcPr>
          <w:p w:rsidR="008231B5" w:rsidRPr="009959E1" w:rsidRDefault="008231B5" w:rsidP="00DF75F3">
            <w:pPr>
              <w:spacing w:line="276" w:lineRule="auto"/>
              <w:ind w:left="-2"/>
              <w:rPr>
                <w:rFonts w:cs="Arial"/>
              </w:rPr>
            </w:pPr>
            <w:r w:rsidRPr="009959E1">
              <w:rPr>
                <w:rFonts w:cs="Arial"/>
              </w:rPr>
              <w:t>Governance Philosophy</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BF2469" w:rsidTr="009959E1">
        <w:tc>
          <w:tcPr>
            <w:tcW w:w="993" w:type="dxa"/>
          </w:tcPr>
          <w:p w:rsidR="008231B5" w:rsidRPr="009959E1" w:rsidRDefault="008231B5" w:rsidP="00DF75F3">
            <w:pPr>
              <w:rPr>
                <w:b/>
              </w:rPr>
            </w:pPr>
            <w:r w:rsidRPr="009959E1">
              <w:rPr>
                <w:b/>
              </w:rPr>
              <w:t>RR04</w:t>
            </w:r>
          </w:p>
        </w:tc>
        <w:tc>
          <w:tcPr>
            <w:tcW w:w="5103" w:type="dxa"/>
          </w:tcPr>
          <w:p w:rsidR="008231B5" w:rsidRPr="009959E1" w:rsidRDefault="008231B5" w:rsidP="00DF75F3">
            <w:pPr>
              <w:spacing w:line="276" w:lineRule="auto"/>
              <w:ind w:left="-2"/>
              <w:rPr>
                <w:rFonts w:cs="Arial"/>
              </w:rPr>
            </w:pPr>
            <w:r w:rsidRPr="009959E1">
              <w:t>Lack of Good Governance</w:t>
            </w:r>
          </w:p>
        </w:tc>
        <w:tc>
          <w:tcPr>
            <w:tcW w:w="1559" w:type="dxa"/>
            <w:tcBorders>
              <w:bottom w:val="single" w:sz="4" w:space="0" w:color="auto"/>
            </w:tcBorders>
            <w:shd w:val="clear" w:color="auto" w:fill="FABF8F" w:themeFill="accent6" w:themeFillTint="99"/>
          </w:tcPr>
          <w:p w:rsidR="008231B5" w:rsidRPr="009959E1" w:rsidRDefault="008231B5" w:rsidP="00DF75F3">
            <w:pPr>
              <w:jc w:val="center"/>
            </w:pPr>
            <w:r w:rsidRPr="009959E1">
              <w:t>High</w:t>
            </w:r>
          </w:p>
        </w:tc>
        <w:tc>
          <w:tcPr>
            <w:tcW w:w="1559" w:type="dxa"/>
            <w:shd w:val="clear" w:color="auto" w:fill="auto"/>
          </w:tcPr>
          <w:p w:rsidR="008231B5" w:rsidRPr="009959E1" w:rsidRDefault="008231B5" w:rsidP="00DF75F3">
            <w:pPr>
              <w:jc w:val="center"/>
            </w:pPr>
            <w:r w:rsidRPr="009959E1">
              <w:t>Good</w:t>
            </w:r>
          </w:p>
        </w:tc>
      </w:tr>
      <w:tr w:rsidR="008231B5" w:rsidRPr="00BF2469" w:rsidTr="009959E1">
        <w:tc>
          <w:tcPr>
            <w:tcW w:w="993" w:type="dxa"/>
          </w:tcPr>
          <w:p w:rsidR="008231B5" w:rsidRPr="009959E1" w:rsidRDefault="008231B5" w:rsidP="00DF75F3">
            <w:pPr>
              <w:rPr>
                <w:b/>
              </w:rPr>
            </w:pPr>
            <w:r w:rsidRPr="009959E1">
              <w:rPr>
                <w:b/>
              </w:rPr>
              <w:t>RR18</w:t>
            </w:r>
          </w:p>
        </w:tc>
        <w:tc>
          <w:tcPr>
            <w:tcW w:w="5103" w:type="dxa"/>
          </w:tcPr>
          <w:p w:rsidR="008231B5" w:rsidRPr="009959E1" w:rsidRDefault="008231B5" w:rsidP="00DF75F3">
            <w:pPr>
              <w:spacing w:line="276" w:lineRule="auto"/>
              <w:ind w:left="-2"/>
            </w:pPr>
            <w:r w:rsidRPr="009959E1">
              <w:t>Knowledge of Legislation and Statute</w:t>
            </w:r>
          </w:p>
        </w:tc>
        <w:tc>
          <w:tcPr>
            <w:tcW w:w="1559" w:type="dxa"/>
            <w:tcBorders>
              <w:bottom w:val="single" w:sz="4" w:space="0" w:color="auto"/>
            </w:tcBorders>
            <w:shd w:val="clear" w:color="auto" w:fill="C6D9F1" w:themeFill="text2" w:themeFillTint="33"/>
          </w:tcPr>
          <w:p w:rsidR="008231B5" w:rsidRPr="009959E1" w:rsidRDefault="008231B5" w:rsidP="00DF75F3">
            <w:pPr>
              <w:jc w:val="center"/>
            </w:pPr>
            <w:r w:rsidRPr="009959E1">
              <w:t>Low</w:t>
            </w:r>
          </w:p>
        </w:tc>
        <w:tc>
          <w:tcPr>
            <w:tcW w:w="1559" w:type="dxa"/>
            <w:shd w:val="clear" w:color="auto" w:fill="auto"/>
          </w:tcPr>
          <w:p w:rsidR="008231B5" w:rsidRPr="009959E1" w:rsidRDefault="008231B5" w:rsidP="00DF75F3">
            <w:pPr>
              <w:jc w:val="center"/>
            </w:pPr>
            <w:r w:rsidRPr="009959E1">
              <w:t>Good</w:t>
            </w:r>
          </w:p>
        </w:tc>
      </w:tr>
      <w:tr w:rsidR="008231B5" w:rsidTr="009959E1">
        <w:tc>
          <w:tcPr>
            <w:tcW w:w="993" w:type="dxa"/>
          </w:tcPr>
          <w:p w:rsidR="008231B5" w:rsidRPr="009959E1" w:rsidRDefault="008231B5" w:rsidP="00DF75F3">
            <w:pPr>
              <w:rPr>
                <w:b/>
              </w:rPr>
            </w:pPr>
            <w:r w:rsidRPr="009959E1">
              <w:rPr>
                <w:b/>
              </w:rPr>
              <w:t>RR03</w:t>
            </w:r>
          </w:p>
        </w:tc>
        <w:tc>
          <w:tcPr>
            <w:tcW w:w="5103" w:type="dxa"/>
          </w:tcPr>
          <w:p w:rsidR="008231B5" w:rsidRPr="009959E1" w:rsidRDefault="008231B5" w:rsidP="00DF75F3">
            <w:pPr>
              <w:spacing w:line="276" w:lineRule="auto"/>
              <w:ind w:left="-2"/>
            </w:pPr>
            <w:r w:rsidRPr="009959E1">
              <w:t>Lack of Industry Intelligence - Government, G.T. Industry, Business &amp; Industry</w:t>
            </w:r>
          </w:p>
        </w:tc>
        <w:tc>
          <w:tcPr>
            <w:tcW w:w="1559" w:type="dxa"/>
            <w:shd w:val="clear" w:color="auto" w:fill="FABF8F" w:themeFill="accent6" w:themeFillTint="99"/>
          </w:tcPr>
          <w:p w:rsidR="008231B5" w:rsidRPr="009959E1" w:rsidRDefault="008231B5" w:rsidP="00DF75F3">
            <w:pPr>
              <w:jc w:val="center"/>
            </w:pPr>
            <w:r w:rsidRPr="009959E1">
              <w:t>High</w:t>
            </w:r>
          </w:p>
        </w:tc>
        <w:tc>
          <w:tcPr>
            <w:tcW w:w="1559" w:type="dxa"/>
            <w:shd w:val="clear" w:color="auto" w:fill="auto"/>
          </w:tcPr>
          <w:p w:rsidR="008231B5" w:rsidRPr="009959E1" w:rsidRDefault="008231B5" w:rsidP="00DF75F3">
            <w:pPr>
              <w:jc w:val="center"/>
            </w:pPr>
            <w:r w:rsidRPr="009959E1">
              <w:t>Good / exe</w:t>
            </w:r>
          </w:p>
        </w:tc>
      </w:tr>
      <w:tr w:rsidR="008231B5" w:rsidTr="009959E1">
        <w:tc>
          <w:tcPr>
            <w:tcW w:w="993" w:type="dxa"/>
          </w:tcPr>
          <w:p w:rsidR="008231B5" w:rsidRPr="009959E1" w:rsidRDefault="008231B5" w:rsidP="00DF75F3">
            <w:pPr>
              <w:rPr>
                <w:b/>
              </w:rPr>
            </w:pPr>
            <w:r w:rsidRPr="009959E1">
              <w:rPr>
                <w:b/>
              </w:rPr>
              <w:lastRenderedPageBreak/>
              <w:t>RR05</w:t>
            </w:r>
          </w:p>
        </w:tc>
        <w:tc>
          <w:tcPr>
            <w:tcW w:w="5103" w:type="dxa"/>
          </w:tcPr>
          <w:p w:rsidR="008231B5" w:rsidRPr="009959E1" w:rsidRDefault="008231B5" w:rsidP="00DF75F3">
            <w:pPr>
              <w:spacing w:line="276" w:lineRule="auto"/>
              <w:ind w:left="-2"/>
            </w:pPr>
            <w:r w:rsidRPr="009959E1">
              <w:t xml:space="preserve">Political – Change of Government Policy / Funding  </w:t>
            </w:r>
          </w:p>
        </w:tc>
        <w:tc>
          <w:tcPr>
            <w:tcW w:w="1559" w:type="dxa"/>
            <w:shd w:val="clear" w:color="auto" w:fill="FABF8F" w:themeFill="accent6" w:themeFillTint="99"/>
          </w:tcPr>
          <w:p w:rsidR="008231B5" w:rsidRPr="009959E1" w:rsidRDefault="008231B5" w:rsidP="00DF75F3">
            <w:pPr>
              <w:jc w:val="center"/>
            </w:pPr>
            <w:r w:rsidRPr="009959E1">
              <w:t xml:space="preserve">High </w:t>
            </w:r>
          </w:p>
        </w:tc>
        <w:tc>
          <w:tcPr>
            <w:tcW w:w="1559" w:type="dxa"/>
            <w:shd w:val="clear" w:color="auto" w:fill="auto"/>
          </w:tcPr>
          <w:p w:rsidR="008231B5" w:rsidRPr="009959E1" w:rsidRDefault="008231B5" w:rsidP="00DF75F3">
            <w:pPr>
              <w:jc w:val="center"/>
            </w:pPr>
            <w:r w:rsidRPr="009959E1">
              <w:t>Fair</w:t>
            </w:r>
          </w:p>
        </w:tc>
      </w:tr>
      <w:tr w:rsidR="008231B5" w:rsidRPr="004E645D" w:rsidTr="009959E1">
        <w:tc>
          <w:tcPr>
            <w:tcW w:w="993" w:type="dxa"/>
          </w:tcPr>
          <w:p w:rsidR="008231B5" w:rsidRPr="009959E1" w:rsidRDefault="008231B5" w:rsidP="00DF75F3">
            <w:pPr>
              <w:rPr>
                <w:b/>
              </w:rPr>
            </w:pPr>
            <w:r w:rsidRPr="009959E1">
              <w:rPr>
                <w:b/>
              </w:rPr>
              <w:t>6</w:t>
            </w:r>
          </w:p>
        </w:tc>
        <w:tc>
          <w:tcPr>
            <w:tcW w:w="5103" w:type="dxa"/>
          </w:tcPr>
          <w:p w:rsidR="008231B5" w:rsidRPr="009959E1" w:rsidRDefault="008231B5" w:rsidP="00DF75F3">
            <w:pPr>
              <w:spacing w:line="276" w:lineRule="auto"/>
              <w:ind w:left="-2"/>
              <w:rPr>
                <w:rFonts w:cs="Arial"/>
              </w:rPr>
            </w:pPr>
            <w:r w:rsidRPr="009959E1">
              <w:rPr>
                <w:rFonts w:cs="Arial"/>
              </w:rPr>
              <w:t>Chairperson Role Description</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c>
          <w:tcPr>
            <w:tcW w:w="993" w:type="dxa"/>
          </w:tcPr>
          <w:p w:rsidR="008231B5" w:rsidRPr="009959E1" w:rsidRDefault="008231B5" w:rsidP="00DF75F3">
            <w:pPr>
              <w:rPr>
                <w:b/>
              </w:rPr>
            </w:pPr>
            <w:r w:rsidRPr="009959E1">
              <w:rPr>
                <w:b/>
              </w:rPr>
              <w:t>7</w:t>
            </w:r>
          </w:p>
        </w:tc>
        <w:tc>
          <w:tcPr>
            <w:tcW w:w="5103" w:type="dxa"/>
          </w:tcPr>
          <w:p w:rsidR="008231B5" w:rsidRPr="009959E1" w:rsidRDefault="008231B5" w:rsidP="00DF75F3">
            <w:pPr>
              <w:spacing w:line="276" w:lineRule="auto"/>
              <w:ind w:left="-2"/>
              <w:rPr>
                <w:rFonts w:cs="Arial"/>
              </w:rPr>
            </w:pPr>
            <w:r w:rsidRPr="009959E1">
              <w:rPr>
                <w:rFonts w:cs="Arial"/>
              </w:rPr>
              <w:t>Agenda Planning</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c>
          <w:tcPr>
            <w:tcW w:w="993" w:type="dxa"/>
          </w:tcPr>
          <w:p w:rsidR="008231B5" w:rsidRPr="009959E1" w:rsidRDefault="008231B5" w:rsidP="00DF75F3">
            <w:pPr>
              <w:rPr>
                <w:b/>
              </w:rPr>
            </w:pPr>
            <w:r w:rsidRPr="009959E1">
              <w:rPr>
                <w:b/>
              </w:rPr>
              <w:t>8</w:t>
            </w:r>
          </w:p>
        </w:tc>
        <w:tc>
          <w:tcPr>
            <w:tcW w:w="5103" w:type="dxa"/>
          </w:tcPr>
          <w:p w:rsidR="008231B5" w:rsidRPr="009959E1" w:rsidRDefault="008231B5" w:rsidP="00DF75F3">
            <w:pPr>
              <w:spacing w:line="276" w:lineRule="auto"/>
              <w:ind w:left="-2"/>
              <w:rPr>
                <w:rFonts w:cs="Arial"/>
              </w:rPr>
            </w:pPr>
            <w:r w:rsidRPr="009959E1">
              <w:rPr>
                <w:rFonts w:cs="Arial"/>
              </w:rPr>
              <w:t>Board Member Induction</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rPr>
          <w:trHeight w:val="209"/>
        </w:trPr>
        <w:tc>
          <w:tcPr>
            <w:tcW w:w="993" w:type="dxa"/>
          </w:tcPr>
          <w:p w:rsidR="008231B5" w:rsidRPr="009959E1" w:rsidRDefault="008231B5" w:rsidP="00DF75F3">
            <w:pPr>
              <w:rPr>
                <w:b/>
              </w:rPr>
            </w:pPr>
            <w:r w:rsidRPr="009959E1">
              <w:rPr>
                <w:b/>
              </w:rPr>
              <w:t>9</w:t>
            </w:r>
          </w:p>
        </w:tc>
        <w:tc>
          <w:tcPr>
            <w:tcW w:w="5103" w:type="dxa"/>
          </w:tcPr>
          <w:p w:rsidR="008231B5" w:rsidRPr="009959E1" w:rsidRDefault="008231B5" w:rsidP="00DF75F3">
            <w:pPr>
              <w:spacing w:line="276" w:lineRule="auto"/>
              <w:ind w:left="-2"/>
              <w:rPr>
                <w:rFonts w:cs="Arial"/>
              </w:rPr>
            </w:pPr>
            <w:r w:rsidRPr="009959E1">
              <w:rPr>
                <w:rFonts w:cs="Arial"/>
              </w:rPr>
              <w:t>Conflict of Interests</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r w:rsidR="008231B5" w:rsidRPr="004E645D" w:rsidTr="009959E1">
        <w:tc>
          <w:tcPr>
            <w:tcW w:w="993" w:type="dxa"/>
          </w:tcPr>
          <w:p w:rsidR="008231B5" w:rsidRPr="009959E1" w:rsidRDefault="008231B5" w:rsidP="00DF75F3">
            <w:pPr>
              <w:rPr>
                <w:b/>
              </w:rPr>
            </w:pPr>
            <w:r w:rsidRPr="009959E1">
              <w:rPr>
                <w:b/>
              </w:rPr>
              <w:t>10</w:t>
            </w:r>
          </w:p>
        </w:tc>
        <w:tc>
          <w:tcPr>
            <w:tcW w:w="5103" w:type="dxa"/>
          </w:tcPr>
          <w:p w:rsidR="008231B5" w:rsidRPr="009959E1" w:rsidRDefault="008231B5" w:rsidP="00DF75F3">
            <w:pPr>
              <w:spacing w:line="276" w:lineRule="auto"/>
              <w:ind w:left="-2"/>
              <w:rPr>
                <w:rFonts w:cs="Arial"/>
              </w:rPr>
            </w:pPr>
            <w:r w:rsidRPr="009959E1">
              <w:rPr>
                <w:rFonts w:cs="Arial"/>
              </w:rPr>
              <w:t>Board Committees and Working Parties</w:t>
            </w:r>
          </w:p>
        </w:tc>
        <w:tc>
          <w:tcPr>
            <w:tcW w:w="1559" w:type="dxa"/>
            <w:shd w:val="clear" w:color="auto" w:fill="auto"/>
          </w:tcPr>
          <w:p w:rsidR="008231B5" w:rsidRPr="009959E1" w:rsidRDefault="008231B5" w:rsidP="00DF75F3">
            <w:pPr>
              <w:jc w:val="center"/>
            </w:pPr>
          </w:p>
        </w:tc>
        <w:tc>
          <w:tcPr>
            <w:tcW w:w="1559" w:type="dxa"/>
            <w:shd w:val="clear" w:color="auto" w:fill="auto"/>
          </w:tcPr>
          <w:p w:rsidR="008231B5" w:rsidRPr="009959E1" w:rsidRDefault="008231B5" w:rsidP="00DF75F3">
            <w:pPr>
              <w:jc w:val="center"/>
            </w:pPr>
          </w:p>
        </w:tc>
      </w:tr>
    </w:tbl>
    <w:p w:rsidR="00BF509C" w:rsidRDefault="00BF509C" w:rsidP="00D3001E">
      <w:pPr>
        <w:rPr>
          <w:b/>
        </w:rPr>
      </w:pPr>
    </w:p>
    <w:p w:rsidR="00BF509C" w:rsidRPr="00AB7E80" w:rsidRDefault="00AB7E80" w:rsidP="00D3001E">
      <w:r w:rsidRPr="00AB7E80">
        <w:t xml:space="preserve">No change to the above policies and risk management schedule were made. </w:t>
      </w:r>
    </w:p>
    <w:p w:rsidR="00BF509C" w:rsidRPr="00D3001E" w:rsidRDefault="00BF509C" w:rsidP="00D3001E">
      <w:pPr>
        <w:rPr>
          <w:b/>
        </w:rPr>
      </w:pPr>
    </w:p>
    <w:p w:rsidR="000B396B" w:rsidRPr="008D258A" w:rsidRDefault="008D258A" w:rsidP="008D258A">
      <w:pPr>
        <w:pStyle w:val="ListParagraph"/>
        <w:numPr>
          <w:ilvl w:val="0"/>
          <w:numId w:val="1"/>
        </w:numPr>
        <w:rPr>
          <w:b/>
        </w:rPr>
      </w:pPr>
      <w:r w:rsidRPr="008D258A">
        <w:rPr>
          <w:b/>
        </w:rPr>
        <w:t xml:space="preserve">GTAV Projects Update </w:t>
      </w:r>
    </w:p>
    <w:p w:rsidR="000B396B" w:rsidRDefault="000B396B" w:rsidP="00500AEF">
      <w:pPr>
        <w:pStyle w:val="ListParagraph"/>
        <w:rPr>
          <w:i/>
        </w:rPr>
      </w:pPr>
    </w:p>
    <w:p w:rsidR="00BF509C" w:rsidRPr="0043321D" w:rsidRDefault="00BF509C" w:rsidP="00BF509C">
      <w:pPr>
        <w:pStyle w:val="ListParagraph"/>
        <w:ind w:left="709"/>
        <w:rPr>
          <w:b/>
        </w:rPr>
      </w:pPr>
      <w:r w:rsidRPr="0043321D">
        <w:rPr>
          <w:b/>
        </w:rPr>
        <w:t xml:space="preserve">GTAV Projects </w:t>
      </w:r>
    </w:p>
    <w:p w:rsidR="00BF509C" w:rsidRDefault="00BF509C" w:rsidP="00BF509C">
      <w:pPr>
        <w:pStyle w:val="ListParagraph"/>
        <w:ind w:left="709"/>
        <w:rPr>
          <w:b/>
        </w:rPr>
      </w:pPr>
      <w:r>
        <w:rPr>
          <w:b/>
        </w:rPr>
        <w:t xml:space="preserve">NWDF </w:t>
      </w:r>
    </w:p>
    <w:p w:rsidR="00BF509C" w:rsidRPr="005A0B1F" w:rsidRDefault="00BF509C" w:rsidP="00BF509C">
      <w:pPr>
        <w:pStyle w:val="ListParagraph"/>
        <w:ind w:left="709"/>
      </w:pPr>
      <w:r>
        <w:t>2013-14 Certificate IV WHS. – This group are progressing well,</w:t>
      </w:r>
      <w:r w:rsidR="009959E1">
        <w:t xml:space="preserve"> with 20 students successfully completing</w:t>
      </w:r>
      <w:r>
        <w:t xml:space="preserve"> all course work, with RMIT processing assessments and issuing qualifications (GTAV anticipate).  GTAV has invoiced for </w:t>
      </w:r>
      <w:r w:rsidR="009959E1">
        <w:t>all project components with IBSA and are finalising project costs with RMIT. GW &amp; CQ met with RMIT to also finalise current outstanding debt from previous programs and to have a new “fee-for-service” contract for 2015 (WHS course only).</w:t>
      </w:r>
    </w:p>
    <w:p w:rsidR="00BF509C" w:rsidRDefault="00BF509C" w:rsidP="00BF509C">
      <w:pPr>
        <w:pStyle w:val="ListParagraph"/>
        <w:ind w:left="709"/>
        <w:rPr>
          <w:b/>
        </w:rPr>
      </w:pPr>
    </w:p>
    <w:p w:rsidR="00BF509C" w:rsidRDefault="00BF509C" w:rsidP="00BF509C">
      <w:pPr>
        <w:pStyle w:val="ListParagraph"/>
        <w:ind w:left="709"/>
        <w:rPr>
          <w:b/>
        </w:rPr>
      </w:pPr>
      <w:r>
        <w:rPr>
          <w:b/>
        </w:rPr>
        <w:t>ISC (Corrections Victoria – Industry Skills Centre – Pre and Post release support)</w:t>
      </w:r>
    </w:p>
    <w:p w:rsidR="00BF509C" w:rsidRDefault="00BF509C" w:rsidP="00BF509C">
      <w:pPr>
        <w:pStyle w:val="ListParagraph"/>
        <w:ind w:left="709"/>
      </w:pPr>
      <w:r w:rsidRPr="009B1688">
        <w:t xml:space="preserve">All current project milestones are being met as at </w:t>
      </w:r>
      <w:r>
        <w:t>1 January 2015</w:t>
      </w:r>
      <w:r w:rsidRPr="009B1688">
        <w:t>.</w:t>
      </w:r>
      <w:r w:rsidR="009959E1">
        <w:t xml:space="preserve"> Invoicing for Oct- Dec quarter has been submitted with our quarterly review meeting scheduled for 20 Feb. </w:t>
      </w:r>
    </w:p>
    <w:p w:rsidR="00BF509C" w:rsidRDefault="00BF509C" w:rsidP="00BF509C">
      <w:pPr>
        <w:pStyle w:val="ListParagraph"/>
        <w:ind w:left="709"/>
        <w:rPr>
          <w:b/>
        </w:rPr>
      </w:pPr>
      <w:r>
        <w:rPr>
          <w:b/>
        </w:rPr>
        <w:t xml:space="preserve"> </w:t>
      </w:r>
    </w:p>
    <w:p w:rsidR="00BF509C" w:rsidRDefault="00BF509C" w:rsidP="00BF509C">
      <w:pPr>
        <w:pStyle w:val="ListParagraph"/>
        <w:ind w:left="709"/>
        <w:rPr>
          <w:b/>
        </w:rPr>
      </w:pPr>
      <w:r>
        <w:rPr>
          <w:b/>
        </w:rPr>
        <w:t xml:space="preserve">Small Business </w:t>
      </w:r>
      <w:proofErr w:type="spellStart"/>
      <w:r>
        <w:rPr>
          <w:b/>
        </w:rPr>
        <w:t>SuccessMap</w:t>
      </w:r>
      <w:proofErr w:type="spellEnd"/>
    </w:p>
    <w:p w:rsidR="00BF509C" w:rsidRDefault="00BF509C" w:rsidP="00BF509C">
      <w:pPr>
        <w:pStyle w:val="ListParagraph"/>
        <w:ind w:left="709"/>
      </w:pPr>
      <w:r>
        <w:t xml:space="preserve"> (Participating </w:t>
      </w:r>
      <w:r w:rsidRPr="0075142B">
        <w:t>members</w:t>
      </w:r>
      <w:r>
        <w:t xml:space="preserve"> and external consultants -</w:t>
      </w:r>
      <w:r w:rsidRPr="0075142B">
        <w:t xml:space="preserve"> have confirmed their MOU/participation for 2014</w:t>
      </w:r>
      <w:r>
        <w:t xml:space="preserve">- Gforce, BGT, ATEP, Kestrel, </w:t>
      </w:r>
      <w:proofErr w:type="spellStart"/>
      <w:r>
        <w:t>Westvic</w:t>
      </w:r>
      <w:proofErr w:type="spellEnd"/>
      <w:r>
        <w:t>, ATEL</w:t>
      </w:r>
      <w:proofErr w:type="gramStart"/>
      <w:r>
        <w:t>,MEGT</w:t>
      </w:r>
      <w:proofErr w:type="gramEnd"/>
      <w:r>
        <w:t>, SED advisory, NEM Australia</w:t>
      </w:r>
      <w:r w:rsidRPr="0075142B">
        <w:t xml:space="preserve">) </w:t>
      </w:r>
    </w:p>
    <w:p w:rsidR="00BF509C" w:rsidRPr="0063492E" w:rsidRDefault="009959E1" w:rsidP="009959E1">
      <w:pPr>
        <w:pStyle w:val="ListParagraph"/>
        <w:ind w:left="709"/>
      </w:pPr>
      <w:r w:rsidRPr="009B1688">
        <w:t xml:space="preserve">All current project milestones are being met as at </w:t>
      </w:r>
      <w:r>
        <w:t>1 January 2015. (CQ working directly with consultants and members to ensure all project reporting requirements are to the standard required and completed on time).</w:t>
      </w:r>
      <w:r w:rsidR="00BF509C" w:rsidRPr="009959E1">
        <w:rPr>
          <w:b/>
        </w:rPr>
        <w:br/>
      </w:r>
      <w:r w:rsidR="00BF509C" w:rsidRPr="009959E1">
        <w:t>(GTAV currently have 70 SBSM businesses approved in total as at 27 January 2015.)</w:t>
      </w:r>
    </w:p>
    <w:p w:rsidR="000970A5" w:rsidRDefault="009959E1" w:rsidP="00CD2B09">
      <w:pPr>
        <w:rPr>
          <w:i/>
        </w:rPr>
      </w:pPr>
      <w:r>
        <w:rPr>
          <w:i/>
        </w:rPr>
        <w:tab/>
      </w:r>
    </w:p>
    <w:p w:rsidR="000970A5" w:rsidRPr="00CD2B09" w:rsidRDefault="000970A5" w:rsidP="00CD2B09">
      <w:pPr>
        <w:rPr>
          <w:i/>
        </w:rPr>
      </w:pPr>
    </w:p>
    <w:p w:rsidR="00825843" w:rsidRPr="00825843" w:rsidRDefault="00825843" w:rsidP="00825843">
      <w:pPr>
        <w:pStyle w:val="ListParagraph"/>
        <w:numPr>
          <w:ilvl w:val="0"/>
          <w:numId w:val="1"/>
        </w:numPr>
        <w:rPr>
          <w:b/>
        </w:rPr>
      </w:pPr>
      <w:r>
        <w:rPr>
          <w:b/>
        </w:rPr>
        <w:t xml:space="preserve">GTAV – XERO transition process </w:t>
      </w:r>
    </w:p>
    <w:p w:rsidR="00825843" w:rsidRDefault="009959E1" w:rsidP="00825843">
      <w:pPr>
        <w:pStyle w:val="ListParagraph"/>
        <w:rPr>
          <w:b/>
        </w:rPr>
      </w:pPr>
      <w:r>
        <w:rPr>
          <w:b/>
        </w:rPr>
        <w:t xml:space="preserve">Discussion: </w:t>
      </w:r>
      <w:r w:rsidR="00825843">
        <w:rPr>
          <w:b/>
        </w:rPr>
        <w:t>GTAV dr</w:t>
      </w:r>
      <w:r w:rsidR="00BC1A9C">
        <w:rPr>
          <w:b/>
        </w:rPr>
        <w:t>aft processes, responsibilities and</w:t>
      </w:r>
      <w:r w:rsidR="00825843">
        <w:rPr>
          <w:b/>
        </w:rPr>
        <w:t xml:space="preserve"> timeframes</w:t>
      </w:r>
      <w:r w:rsidR="00BC1A9C">
        <w:rPr>
          <w:b/>
        </w:rPr>
        <w:t>.</w:t>
      </w:r>
      <w:r w:rsidR="00825843">
        <w:rPr>
          <w:b/>
        </w:rPr>
        <w:t xml:space="preserve"> </w:t>
      </w:r>
    </w:p>
    <w:p w:rsidR="00AB7E80" w:rsidRDefault="00AB7E80" w:rsidP="00825843">
      <w:pPr>
        <w:pStyle w:val="ListParagraph"/>
      </w:pPr>
      <w:r>
        <w:t xml:space="preserve">The committee discussed the proposed implementation / “Staff discussion paper”   and approved in principal the approach that will be used over the coming weeks. </w:t>
      </w:r>
    </w:p>
    <w:p w:rsidR="00AB7E80" w:rsidRDefault="00AB7E80" w:rsidP="00825843">
      <w:pPr>
        <w:pStyle w:val="ListParagraph"/>
      </w:pPr>
      <w:r>
        <w:t xml:space="preserve">GW discussed the proposed staff redundancy process and the </w:t>
      </w:r>
      <w:r w:rsidR="00BC1A9C">
        <w:t xml:space="preserve">alternative staffing arrangements that might be required during the notice period.  GW will host a full staff consultation process during the week of 23 February and will then work with </w:t>
      </w:r>
      <w:proofErr w:type="spellStart"/>
      <w:r w:rsidR="00BC1A9C">
        <w:t>worksight</w:t>
      </w:r>
      <w:proofErr w:type="spellEnd"/>
      <w:r w:rsidR="00BC1A9C">
        <w:t xml:space="preserve"> (Janet Nicolson / IR specialist) and RG to discuss GTAV new financial services model with the staff member affected.  </w:t>
      </w:r>
    </w:p>
    <w:p w:rsidR="00825843" w:rsidRPr="00B028AC" w:rsidRDefault="00B028AC" w:rsidP="00825843">
      <w:pPr>
        <w:pStyle w:val="ListParagraph"/>
      </w:pPr>
      <w:r w:rsidRPr="00AB7E80">
        <w:t>GW: will provide a proposed timetable of key milestones over the</w:t>
      </w:r>
      <w:r w:rsidRPr="00B028AC">
        <w:t xml:space="preserve"> </w:t>
      </w:r>
      <w:r w:rsidR="00AB7E80">
        <w:t>March –</w:t>
      </w:r>
      <w:r w:rsidR="00BC1A9C">
        <w:t xml:space="preserve"> April period, and</w:t>
      </w:r>
      <w:r w:rsidR="00AB7E80">
        <w:t xml:space="preserve"> to summarise the implementation plan, and staff discussion paper to focus on the </w:t>
      </w:r>
      <w:r w:rsidR="00BC1A9C">
        <w:t xml:space="preserve">justification of the new system. </w:t>
      </w:r>
    </w:p>
    <w:p w:rsidR="008231B5" w:rsidRDefault="008231B5" w:rsidP="00825843">
      <w:pPr>
        <w:pStyle w:val="ListParagraph"/>
        <w:rPr>
          <w:b/>
        </w:rPr>
      </w:pPr>
    </w:p>
    <w:p w:rsidR="008231B5" w:rsidRPr="008231B5" w:rsidRDefault="008231B5" w:rsidP="008231B5">
      <w:pPr>
        <w:pStyle w:val="ListParagraph"/>
        <w:numPr>
          <w:ilvl w:val="0"/>
          <w:numId w:val="1"/>
        </w:numPr>
        <w:rPr>
          <w:b/>
        </w:rPr>
      </w:pPr>
      <w:r w:rsidRPr="008231B5">
        <w:rPr>
          <w:b/>
        </w:rPr>
        <w:t xml:space="preserve">GTAV office move (VTA sub lease) timeframes </w:t>
      </w:r>
    </w:p>
    <w:p w:rsidR="00825843" w:rsidRPr="00B028AC" w:rsidRDefault="00C2097B" w:rsidP="008231B5">
      <w:pPr>
        <w:pStyle w:val="ListParagraph"/>
      </w:pPr>
      <w:r>
        <w:t xml:space="preserve">GTAV proposed move dates March 30 &amp; 31 (week before Easter)  </w:t>
      </w:r>
    </w:p>
    <w:p w:rsidR="00825843" w:rsidRDefault="00C2097B" w:rsidP="00825843">
      <w:pPr>
        <w:pStyle w:val="ListParagraph"/>
      </w:pPr>
      <w:r w:rsidRPr="00C2097B">
        <w:t xml:space="preserve">GTAV and VTA are working together on logistics and responsibilities as needed over the coming weeks. GTAV will announce the move to members through the Friday file e-newsletter on Friday 20 February – with reminders to members as we get closer to the date. </w:t>
      </w:r>
    </w:p>
    <w:p w:rsidR="00C2097B" w:rsidRDefault="00C2097B" w:rsidP="00C2097B">
      <w:pPr>
        <w:pStyle w:val="ListParagraph"/>
      </w:pPr>
      <w:r w:rsidRPr="00B028AC">
        <w:t>The committee ap</w:t>
      </w:r>
      <w:r>
        <w:t xml:space="preserve">proved the sub-lease agreement and proposed timeframes. </w:t>
      </w:r>
    </w:p>
    <w:p w:rsidR="00C2097B" w:rsidRDefault="00C2097B" w:rsidP="00825843">
      <w:pPr>
        <w:pStyle w:val="ListParagraph"/>
      </w:pPr>
    </w:p>
    <w:p w:rsidR="00C2097B" w:rsidRDefault="00C2097B" w:rsidP="00825843">
      <w:pPr>
        <w:pStyle w:val="ListParagraph"/>
      </w:pPr>
    </w:p>
    <w:p w:rsidR="00C2097B" w:rsidRDefault="00C2097B" w:rsidP="00825843">
      <w:pPr>
        <w:pStyle w:val="ListParagraph"/>
      </w:pPr>
    </w:p>
    <w:p w:rsidR="00C2097B" w:rsidRDefault="00C2097B" w:rsidP="00825843">
      <w:pPr>
        <w:pStyle w:val="ListParagraph"/>
      </w:pPr>
    </w:p>
    <w:p w:rsidR="00C2097B" w:rsidRPr="00C2097B" w:rsidRDefault="00C2097B" w:rsidP="00825843">
      <w:pPr>
        <w:pStyle w:val="ListParagraph"/>
      </w:pPr>
    </w:p>
    <w:p w:rsidR="008B7F73" w:rsidRPr="000970A5" w:rsidRDefault="00172DB8" w:rsidP="000970A5">
      <w:pPr>
        <w:pStyle w:val="ListParagraph"/>
        <w:numPr>
          <w:ilvl w:val="0"/>
          <w:numId w:val="1"/>
        </w:numPr>
        <w:rPr>
          <w:b/>
        </w:rPr>
      </w:pPr>
      <w:r w:rsidRPr="000970A5">
        <w:rPr>
          <w:b/>
        </w:rPr>
        <w:t>Other Business</w:t>
      </w:r>
    </w:p>
    <w:p w:rsidR="00CD2B09" w:rsidRDefault="00CD2B09" w:rsidP="00D41F35"/>
    <w:p w:rsidR="00E73DD5" w:rsidRDefault="00E73DD5" w:rsidP="00DC3B61">
      <w:pPr>
        <w:rPr>
          <w:b/>
        </w:rPr>
      </w:pPr>
    </w:p>
    <w:p w:rsidR="00E73DD5" w:rsidRDefault="009959E1" w:rsidP="009959E1">
      <w:pPr>
        <w:ind w:left="720"/>
        <w:rPr>
          <w:b/>
        </w:rPr>
      </w:pPr>
      <w:r>
        <w:rPr>
          <w:b/>
        </w:rPr>
        <w:t>Apprenticeship Luncheon – Tuesday 3 March (RACV Club)</w:t>
      </w:r>
    </w:p>
    <w:p w:rsidR="00E73DD5" w:rsidRPr="00C2097B" w:rsidRDefault="00C2097B" w:rsidP="00C2097B">
      <w:pPr>
        <w:ind w:left="720"/>
      </w:pPr>
      <w:r w:rsidRPr="00C2097B">
        <w:t xml:space="preserve">GTAV currently have 77 registrations for the event (hoping for 90 by close of registrations on Friday 20 Feb). Board members reminded to confirm their availability to attend. </w:t>
      </w:r>
    </w:p>
    <w:p w:rsidR="00C2097B" w:rsidRDefault="00C2097B" w:rsidP="00C2097B">
      <w:pPr>
        <w:ind w:left="720"/>
      </w:pPr>
    </w:p>
    <w:p w:rsidR="00C2097B" w:rsidRDefault="00C2097B" w:rsidP="00C2097B">
      <w:pPr>
        <w:ind w:left="720"/>
      </w:pPr>
      <w:r>
        <w:t xml:space="preserve">Minister confirmed as guest speaker with 4 other government officials attending and 2 journalists. </w:t>
      </w:r>
    </w:p>
    <w:p w:rsidR="00C2097B" w:rsidRDefault="00C2097B" w:rsidP="00C2097B">
      <w:pPr>
        <w:ind w:left="720"/>
      </w:pPr>
      <w:r>
        <w:t xml:space="preserve">The event will be run with the minister presenting for 30 minutes, then guests will be invited to participate in round table discussions with short presentations from each table to the minister at the conclusion of the luncheon. </w:t>
      </w:r>
    </w:p>
    <w:p w:rsidR="00C2097B" w:rsidRPr="00C2097B" w:rsidRDefault="00C2097B" w:rsidP="00C2097B">
      <w:pPr>
        <w:ind w:left="720"/>
      </w:pPr>
    </w:p>
    <w:p w:rsidR="00C2097B" w:rsidRPr="00C2097B" w:rsidRDefault="00C2097B" w:rsidP="00C2097B">
      <w:pPr>
        <w:ind w:left="720"/>
      </w:pPr>
      <w:proofErr w:type="gramStart"/>
      <w:r w:rsidRPr="00C2097B">
        <w:t>GW to work with DL to finalise event running order, introduction speech</w:t>
      </w:r>
      <w:r>
        <w:t>, prepared questions for the minister</w:t>
      </w:r>
      <w:r w:rsidRPr="00C2097B">
        <w:t xml:space="preserve"> and seating arrangements.</w:t>
      </w:r>
      <w:proofErr w:type="gramEnd"/>
      <w:r w:rsidRPr="00C2097B">
        <w:t xml:space="preserve"> </w:t>
      </w:r>
      <w:r>
        <w:t xml:space="preserve"> GW to finalise briefing to </w:t>
      </w:r>
      <w:proofErr w:type="spellStart"/>
      <w:proofErr w:type="gramStart"/>
      <w:r>
        <w:t>ministers</w:t>
      </w:r>
      <w:proofErr w:type="spellEnd"/>
      <w:proofErr w:type="gramEnd"/>
      <w:r>
        <w:t xml:space="preserve"> office and final guest list with VIP’s. </w:t>
      </w:r>
    </w:p>
    <w:p w:rsidR="00B028AC" w:rsidRDefault="00B028AC" w:rsidP="00DC3B61">
      <w:pPr>
        <w:rPr>
          <w:b/>
        </w:rPr>
      </w:pPr>
    </w:p>
    <w:p w:rsidR="00B028AC" w:rsidRDefault="00C2097B" w:rsidP="00DC3B61">
      <w:pPr>
        <w:rPr>
          <w:b/>
        </w:rPr>
      </w:pPr>
      <w:r>
        <w:rPr>
          <w:b/>
        </w:rPr>
        <w:tab/>
      </w:r>
    </w:p>
    <w:p w:rsidR="008231B5" w:rsidRDefault="008231B5" w:rsidP="00DC3B61">
      <w:pPr>
        <w:rPr>
          <w:b/>
        </w:rPr>
      </w:pPr>
    </w:p>
    <w:p w:rsidR="00E73DD5" w:rsidRDefault="00E73DD5" w:rsidP="00DC3B61">
      <w:pPr>
        <w:rPr>
          <w:b/>
        </w:rPr>
      </w:pPr>
    </w:p>
    <w:p w:rsidR="00DC3B61" w:rsidRDefault="00B028AC" w:rsidP="00DC3B61">
      <w:pPr>
        <w:rPr>
          <w:b/>
        </w:rPr>
      </w:pPr>
      <w:r>
        <w:rPr>
          <w:b/>
        </w:rPr>
        <w:t xml:space="preserve">Meeting Close:  11.05am </w:t>
      </w:r>
    </w:p>
    <w:p w:rsidR="00B028AC" w:rsidRDefault="00B028AC" w:rsidP="00DC3B61">
      <w:pPr>
        <w:rPr>
          <w:b/>
        </w:rPr>
      </w:pPr>
    </w:p>
    <w:p w:rsidR="00DC3B61" w:rsidRDefault="00DC3B61" w:rsidP="00DC3B61">
      <w:pPr>
        <w:rPr>
          <w:b/>
        </w:rPr>
      </w:pPr>
    </w:p>
    <w:p w:rsidR="00BA7285" w:rsidRDefault="00BA7285" w:rsidP="00DC3B61">
      <w:pPr>
        <w:rPr>
          <w:b/>
        </w:rPr>
      </w:pPr>
    </w:p>
    <w:p w:rsidR="00D00D0C" w:rsidRPr="00DC3B61" w:rsidRDefault="00912B89" w:rsidP="00DC3B61">
      <w:pPr>
        <w:rPr>
          <w:b/>
        </w:rPr>
      </w:pPr>
      <w:r w:rsidRPr="00DC3B61">
        <w:rPr>
          <w:b/>
        </w:rPr>
        <w:t xml:space="preserve">Next Meeting </w:t>
      </w:r>
    </w:p>
    <w:p w:rsidR="00005B2A" w:rsidRDefault="00D41F35" w:rsidP="00005B2A">
      <w:r>
        <w:t xml:space="preserve">Wednesday </w:t>
      </w:r>
      <w:r w:rsidR="00825843">
        <w:t>18 March 2015</w:t>
      </w:r>
      <w:r w:rsidR="00BA7285">
        <w:t xml:space="preserve"> (9.30am)</w:t>
      </w:r>
    </w:p>
    <w:p w:rsidR="00BA7285" w:rsidRDefault="00BA7285" w:rsidP="00005B2A">
      <w:proofErr w:type="gramStart"/>
      <w:r>
        <w:t>GTAV Office – 113 Drummond Street Carlton.</w:t>
      </w:r>
      <w:proofErr w:type="gramEnd"/>
      <w:r>
        <w:t xml:space="preserve"> </w:t>
      </w:r>
    </w:p>
    <w:sectPr w:rsidR="00BA7285" w:rsidSect="000663BB">
      <w:footerReference w:type="default" r:id="rId9"/>
      <w:pgSz w:w="11906" w:h="16838"/>
      <w:pgMar w:top="851" w:right="707"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80" w:rsidRDefault="00AB7E80" w:rsidP="008B7F73">
      <w:r>
        <w:separator/>
      </w:r>
    </w:p>
  </w:endnote>
  <w:endnote w:type="continuationSeparator" w:id="0">
    <w:p w:rsidR="00AB7E80" w:rsidRDefault="00AB7E80" w:rsidP="008B7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80" w:rsidRPr="00CA587F" w:rsidRDefault="00AB7E80" w:rsidP="0043200F">
    <w:pPr>
      <w:pStyle w:val="Footer"/>
      <w:rPr>
        <w:sz w:val="18"/>
        <w:szCs w:val="18"/>
      </w:rPr>
    </w:pPr>
    <w:fldSimple w:instr=" FILENAME  \p  \* MERGEFORMAT ">
      <w:r w:rsidRPr="00B60974">
        <w:rPr>
          <w:noProof/>
          <w:sz w:val="18"/>
          <w:szCs w:val="18"/>
        </w:rPr>
        <w:t>Z:\GTA Vic\Finance and Audit Committee\minutes\GTAV audit committee minutes 18022015.docx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80" w:rsidRDefault="00AB7E80" w:rsidP="008B7F73">
      <w:r>
        <w:separator/>
      </w:r>
    </w:p>
  </w:footnote>
  <w:footnote w:type="continuationSeparator" w:id="0">
    <w:p w:rsidR="00AB7E80" w:rsidRDefault="00AB7E80" w:rsidP="008B7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E7A"/>
    <w:multiLevelType w:val="hybridMultilevel"/>
    <w:tmpl w:val="94202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F2532C"/>
    <w:multiLevelType w:val="hybridMultilevel"/>
    <w:tmpl w:val="8BBAD9A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7F73"/>
    <w:rsid w:val="00005B2A"/>
    <w:rsid w:val="00012371"/>
    <w:rsid w:val="000447E6"/>
    <w:rsid w:val="000663BB"/>
    <w:rsid w:val="00067FB8"/>
    <w:rsid w:val="00075C0C"/>
    <w:rsid w:val="00082861"/>
    <w:rsid w:val="00082BF4"/>
    <w:rsid w:val="000970A5"/>
    <w:rsid w:val="000B396B"/>
    <w:rsid w:val="000B7623"/>
    <w:rsid w:val="000D65D9"/>
    <w:rsid w:val="000D6762"/>
    <w:rsid w:val="000D7E40"/>
    <w:rsid w:val="00120CAA"/>
    <w:rsid w:val="00122028"/>
    <w:rsid w:val="00126DE9"/>
    <w:rsid w:val="00141861"/>
    <w:rsid w:val="00154F11"/>
    <w:rsid w:val="00157D06"/>
    <w:rsid w:val="00172DB8"/>
    <w:rsid w:val="0018026A"/>
    <w:rsid w:val="00186032"/>
    <w:rsid w:val="001C5191"/>
    <w:rsid w:val="00221CF8"/>
    <w:rsid w:val="002251A9"/>
    <w:rsid w:val="00241290"/>
    <w:rsid w:val="00241F97"/>
    <w:rsid w:val="00245392"/>
    <w:rsid w:val="00262C22"/>
    <w:rsid w:val="00280025"/>
    <w:rsid w:val="00285CAF"/>
    <w:rsid w:val="002A26E9"/>
    <w:rsid w:val="002A384D"/>
    <w:rsid w:val="002A7B9F"/>
    <w:rsid w:val="002F0C80"/>
    <w:rsid w:val="00307A01"/>
    <w:rsid w:val="0032174E"/>
    <w:rsid w:val="003219E4"/>
    <w:rsid w:val="00330ED8"/>
    <w:rsid w:val="00350791"/>
    <w:rsid w:val="003544BB"/>
    <w:rsid w:val="00361171"/>
    <w:rsid w:val="00382318"/>
    <w:rsid w:val="00382786"/>
    <w:rsid w:val="00392B6B"/>
    <w:rsid w:val="003B5CD1"/>
    <w:rsid w:val="003C746E"/>
    <w:rsid w:val="00421F62"/>
    <w:rsid w:val="00421F6B"/>
    <w:rsid w:val="00422E5C"/>
    <w:rsid w:val="004257F5"/>
    <w:rsid w:val="0043200F"/>
    <w:rsid w:val="004416DD"/>
    <w:rsid w:val="00467982"/>
    <w:rsid w:val="00467BEB"/>
    <w:rsid w:val="00475B8D"/>
    <w:rsid w:val="004D1B12"/>
    <w:rsid w:val="00500AEF"/>
    <w:rsid w:val="00513CAC"/>
    <w:rsid w:val="00522154"/>
    <w:rsid w:val="00522FF2"/>
    <w:rsid w:val="00525B23"/>
    <w:rsid w:val="00527377"/>
    <w:rsid w:val="00554474"/>
    <w:rsid w:val="00571536"/>
    <w:rsid w:val="00585412"/>
    <w:rsid w:val="00591B98"/>
    <w:rsid w:val="0059296C"/>
    <w:rsid w:val="005B1688"/>
    <w:rsid w:val="005B2F02"/>
    <w:rsid w:val="005D066F"/>
    <w:rsid w:val="005D20BE"/>
    <w:rsid w:val="005E31A4"/>
    <w:rsid w:val="0061123D"/>
    <w:rsid w:val="00611AAD"/>
    <w:rsid w:val="00611B62"/>
    <w:rsid w:val="00630D4D"/>
    <w:rsid w:val="00636FA3"/>
    <w:rsid w:val="006577A1"/>
    <w:rsid w:val="00660BF7"/>
    <w:rsid w:val="00676967"/>
    <w:rsid w:val="006870BE"/>
    <w:rsid w:val="006A0C2B"/>
    <w:rsid w:val="006E6EE3"/>
    <w:rsid w:val="00703F67"/>
    <w:rsid w:val="00717CFE"/>
    <w:rsid w:val="007448B7"/>
    <w:rsid w:val="00751A66"/>
    <w:rsid w:val="00757EA4"/>
    <w:rsid w:val="00764DE4"/>
    <w:rsid w:val="00787478"/>
    <w:rsid w:val="007C2A91"/>
    <w:rsid w:val="007F734D"/>
    <w:rsid w:val="008018BF"/>
    <w:rsid w:val="008113E5"/>
    <w:rsid w:val="00815051"/>
    <w:rsid w:val="008231B5"/>
    <w:rsid w:val="00825843"/>
    <w:rsid w:val="00837939"/>
    <w:rsid w:val="00864EC7"/>
    <w:rsid w:val="00873143"/>
    <w:rsid w:val="00892518"/>
    <w:rsid w:val="008A5B11"/>
    <w:rsid w:val="008B7F73"/>
    <w:rsid w:val="008D258A"/>
    <w:rsid w:val="008D4040"/>
    <w:rsid w:val="008E2923"/>
    <w:rsid w:val="008F7618"/>
    <w:rsid w:val="00912B89"/>
    <w:rsid w:val="009259B9"/>
    <w:rsid w:val="00936087"/>
    <w:rsid w:val="00956685"/>
    <w:rsid w:val="0097770A"/>
    <w:rsid w:val="009959E1"/>
    <w:rsid w:val="009A6D9C"/>
    <w:rsid w:val="009B1D98"/>
    <w:rsid w:val="009B5E5D"/>
    <w:rsid w:val="009F2AD5"/>
    <w:rsid w:val="00A05155"/>
    <w:rsid w:val="00A16D02"/>
    <w:rsid w:val="00A17CCA"/>
    <w:rsid w:val="00A669D0"/>
    <w:rsid w:val="00A81D0F"/>
    <w:rsid w:val="00A85EE9"/>
    <w:rsid w:val="00AA0088"/>
    <w:rsid w:val="00AA49BA"/>
    <w:rsid w:val="00AB38FF"/>
    <w:rsid w:val="00AB396C"/>
    <w:rsid w:val="00AB7E80"/>
    <w:rsid w:val="00AE2BAD"/>
    <w:rsid w:val="00AF28E4"/>
    <w:rsid w:val="00B0268F"/>
    <w:rsid w:val="00B028AC"/>
    <w:rsid w:val="00B1409C"/>
    <w:rsid w:val="00B1622D"/>
    <w:rsid w:val="00B249B0"/>
    <w:rsid w:val="00B60974"/>
    <w:rsid w:val="00B87EAC"/>
    <w:rsid w:val="00BA7285"/>
    <w:rsid w:val="00BC1A9C"/>
    <w:rsid w:val="00BC7D10"/>
    <w:rsid w:val="00BE2C20"/>
    <w:rsid w:val="00BF2DAD"/>
    <w:rsid w:val="00BF4FA2"/>
    <w:rsid w:val="00BF509C"/>
    <w:rsid w:val="00BF5D0B"/>
    <w:rsid w:val="00C136D5"/>
    <w:rsid w:val="00C2097B"/>
    <w:rsid w:val="00C418DB"/>
    <w:rsid w:val="00C9796C"/>
    <w:rsid w:val="00CA419E"/>
    <w:rsid w:val="00CA587F"/>
    <w:rsid w:val="00CD2B09"/>
    <w:rsid w:val="00D00D0C"/>
    <w:rsid w:val="00D045A3"/>
    <w:rsid w:val="00D0629D"/>
    <w:rsid w:val="00D13CFB"/>
    <w:rsid w:val="00D157FF"/>
    <w:rsid w:val="00D172AE"/>
    <w:rsid w:val="00D22F8C"/>
    <w:rsid w:val="00D3001E"/>
    <w:rsid w:val="00D41F35"/>
    <w:rsid w:val="00D54487"/>
    <w:rsid w:val="00D57653"/>
    <w:rsid w:val="00D94203"/>
    <w:rsid w:val="00D95A99"/>
    <w:rsid w:val="00DC3B61"/>
    <w:rsid w:val="00DC582D"/>
    <w:rsid w:val="00DC6124"/>
    <w:rsid w:val="00DF0FAD"/>
    <w:rsid w:val="00DF75F3"/>
    <w:rsid w:val="00E05295"/>
    <w:rsid w:val="00E05F33"/>
    <w:rsid w:val="00E10682"/>
    <w:rsid w:val="00E25982"/>
    <w:rsid w:val="00E36E33"/>
    <w:rsid w:val="00E47CB5"/>
    <w:rsid w:val="00E6012D"/>
    <w:rsid w:val="00E73DD5"/>
    <w:rsid w:val="00E806EE"/>
    <w:rsid w:val="00EB1882"/>
    <w:rsid w:val="00EB5ECB"/>
    <w:rsid w:val="00EC134A"/>
    <w:rsid w:val="00EE00DF"/>
    <w:rsid w:val="00EE6466"/>
    <w:rsid w:val="00EF4813"/>
    <w:rsid w:val="00EF6C0E"/>
    <w:rsid w:val="00F133BB"/>
    <w:rsid w:val="00F43933"/>
    <w:rsid w:val="00F6260A"/>
    <w:rsid w:val="00FB5320"/>
    <w:rsid w:val="00FF7D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73"/>
    <w:pPr>
      <w:ind w:left="720"/>
      <w:contextualSpacing/>
    </w:pPr>
  </w:style>
  <w:style w:type="paragraph" w:styleId="Header">
    <w:name w:val="header"/>
    <w:basedOn w:val="Normal"/>
    <w:link w:val="HeaderChar"/>
    <w:uiPriority w:val="99"/>
    <w:semiHidden/>
    <w:unhideWhenUsed/>
    <w:rsid w:val="008B7F73"/>
    <w:pPr>
      <w:tabs>
        <w:tab w:val="center" w:pos="4513"/>
        <w:tab w:val="right" w:pos="9026"/>
      </w:tabs>
    </w:pPr>
  </w:style>
  <w:style w:type="character" w:customStyle="1" w:styleId="HeaderChar">
    <w:name w:val="Header Char"/>
    <w:basedOn w:val="DefaultParagraphFont"/>
    <w:link w:val="Header"/>
    <w:uiPriority w:val="99"/>
    <w:semiHidden/>
    <w:rsid w:val="008B7F73"/>
  </w:style>
  <w:style w:type="paragraph" w:styleId="Footer">
    <w:name w:val="footer"/>
    <w:basedOn w:val="Normal"/>
    <w:link w:val="FooterChar"/>
    <w:uiPriority w:val="99"/>
    <w:unhideWhenUsed/>
    <w:rsid w:val="008B7F73"/>
    <w:pPr>
      <w:tabs>
        <w:tab w:val="center" w:pos="4513"/>
        <w:tab w:val="right" w:pos="9026"/>
      </w:tabs>
    </w:pPr>
  </w:style>
  <w:style w:type="character" w:customStyle="1" w:styleId="FooterChar">
    <w:name w:val="Footer Char"/>
    <w:basedOn w:val="DefaultParagraphFont"/>
    <w:link w:val="Footer"/>
    <w:uiPriority w:val="99"/>
    <w:rsid w:val="008B7F73"/>
  </w:style>
  <w:style w:type="table" w:styleId="TableGrid">
    <w:name w:val="Table Grid"/>
    <w:basedOn w:val="TableNormal"/>
    <w:uiPriority w:val="59"/>
    <w:rsid w:val="005715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7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70EE7-3EFA-484C-A43E-F850A88A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GTA Vic</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Glover</dc:creator>
  <cp:lastModifiedBy>gary workman</cp:lastModifiedBy>
  <cp:revision>7</cp:revision>
  <cp:lastPrinted>2014-03-31T23:55:00Z</cp:lastPrinted>
  <dcterms:created xsi:type="dcterms:W3CDTF">2015-02-18T22:40:00Z</dcterms:created>
  <dcterms:modified xsi:type="dcterms:W3CDTF">2015-02-19T00:58:00Z</dcterms:modified>
</cp:coreProperties>
</file>